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Финансовая система и финансовые рынки</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«Финансовая система и финансовые рынки»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«Финансовая система и финансовые рынки».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«Финансовая система и финансовые рынки»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конъюнктуры рынка банковских услуг, рынка ценных бумаг, иностранной валюты, товарно-сырьевых рынков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основы гражданского, семейного и трудового права, регулирующие финансовые отношения домохозяйств и влияющие на сферу управления личными финансами, нормативную базу в области финансовой деятельности, основные мировые и российские тенденции изменения законодательства, регулирующего финансовую деятельность</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конъюнктуру и механизмы функционирования финансовых рынков; систему розничных финансовых услуг, применяемых при управлении личными финансами домохозяйств (инвестиционные, кредитные, страховые, пенсионные), их качественные, количественные характеристики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современную финансовую систему и финансовый рынок, историю развития финансовой системы и финансового рынка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производить информационно-аналитическую работу по рынку финансовых, банковских, страховых и инвестиционных продуктов и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получать, интерпретировать и документировать результаты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применять технологии сбора первичной финансовой информации и методы экономической диагностики рынка финансовых услуг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проведение исследования финансового рынка и изучение предложений финансовых услуг (в том числе действующих правил и условий, тарифной политики и действующих форм документации)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ПК-1.17 владеть навыками сбора информации по спросу на рынке финансовых услуг</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мониторинга информационных источников финансовой информации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351.4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источники финансирования профессиональной деятельности; принципы планирования экономической деятельности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«Финансовая система и финансовые рынки» относится к обязательной части, является дисциплиной Блока Б1. «Дисциплины (модули)». Модуль "Рынок финансовых услуг"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Деньги, кредит, банки</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Анализ и прогнозирования финансового сектора экономики</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Понятие финансового рынка и финансовой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 Функции финансового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мировые тенденции развития финансовых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финансовых посредников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Ценные бумаги. Классификации ценных бумаг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доходности акций (дивидендная доходность, цена/прибыль, прибыль на акцию. Фондовые индексы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Евробумаги. Рынок евробумаг.</w:t>
            </w:r>
          </w:p>
          <w:p>
            <w:pPr>
              <w:jc w:val="left"/>
              <w:spacing w:after="0" w:line="240" w:lineRule="auto"/>
              <w:rPr>
                <w:sz w:val="24"/>
                <w:szCs w:val="24"/>
              </w:rPr>
            </w:pPr>
            <w:r>
              <w:rPr>
                <w:rFonts w:ascii="Times New Roman" w:hAnsi="Times New Roman" w:cs="Times New Roman"/>
                <w:color w:val="#000000"/>
                <w:sz w:val="24"/>
                <w:szCs w:val="24"/>
              </w:rPr>
              <w:t> Рейтинг ценных бумаг и эмитентов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сущность, функции и цели применения производных финансовых инструментов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Государственное регулирование рынка производных финансовых инструментов  в международной практике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Экзотические производные финансовые инструменты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103.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 Функции финансового рынка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финансового рынка</w:t>
            </w:r>
          </w:p>
          <w:p>
            <w:pPr>
              <w:jc w:val="both"/>
              <w:spacing w:after="0" w:line="240" w:lineRule="auto"/>
              <w:rPr>
                <w:sz w:val="24"/>
                <w:szCs w:val="24"/>
              </w:rPr>
            </w:pPr>
            <w:r>
              <w:rPr>
                <w:rFonts w:ascii="Times New Roman" w:hAnsi="Times New Roman" w:cs="Times New Roman"/>
                <w:color w:val="#000000"/>
                <w:sz w:val="24"/>
                <w:szCs w:val="24"/>
              </w:rPr>
              <w:t> Функции финансового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мировые тенденции развития финансовых рынков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Мировые тренды финансов</w:t>
            </w:r>
          </w:p>
          <w:p>
            <w:pPr>
              <w:jc w:val="both"/>
              <w:spacing w:after="0" w:line="240" w:lineRule="auto"/>
              <w:rPr>
                <w:sz w:val="24"/>
                <w:szCs w:val="24"/>
              </w:rPr>
            </w:pPr>
            <w:r>
              <w:rPr>
                <w:rFonts w:ascii="Times New Roman" w:hAnsi="Times New Roman" w:cs="Times New Roman"/>
                <w:color w:val="#000000"/>
                <w:sz w:val="24"/>
                <w:szCs w:val="24"/>
              </w:rPr>
              <w:t> Особенности развития финансов в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финансовых посредников (институтов)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Финансовые посредники</w:t>
            </w:r>
          </w:p>
          <w:p>
            <w:pPr>
              <w:jc w:val="both"/>
              <w:spacing w:after="0" w:line="240" w:lineRule="auto"/>
              <w:rPr>
                <w:sz w:val="24"/>
                <w:szCs w:val="24"/>
              </w:rPr>
            </w:pPr>
            <w:r>
              <w:rPr>
                <w:rFonts w:ascii="Times New Roman" w:hAnsi="Times New Roman" w:cs="Times New Roman"/>
                <w:color w:val="#000000"/>
                <w:sz w:val="24"/>
                <w:szCs w:val="24"/>
              </w:rPr>
              <w:t> Функции финансовых посредников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Ценные бумаги. Классификации ценных бумаг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виды ценных бумаг</w:t>
            </w:r>
          </w:p>
          <w:p>
            <w:pPr>
              <w:jc w:val="both"/>
              <w:spacing w:after="0" w:line="240" w:lineRule="auto"/>
              <w:rPr>
                <w:sz w:val="24"/>
                <w:szCs w:val="24"/>
              </w:rPr>
            </w:pPr>
            <w:r>
              <w:rPr>
                <w:rFonts w:ascii="Times New Roman" w:hAnsi="Times New Roman" w:cs="Times New Roman"/>
                <w:color w:val="#000000"/>
                <w:sz w:val="24"/>
                <w:szCs w:val="24"/>
              </w:rPr>
              <w:t> Классификация ценных бумаг</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доходности акций (дивидендная доходность, цена/прибыль, прибыль на акцию. Фондовые индексы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доходности акций</w:t>
            </w:r>
          </w:p>
          <w:p>
            <w:pPr>
              <w:jc w:val="both"/>
              <w:spacing w:after="0" w:line="240" w:lineRule="auto"/>
              <w:rPr>
                <w:sz w:val="24"/>
                <w:szCs w:val="24"/>
              </w:rPr>
            </w:pPr>
            <w:r>
              <w:rPr>
                <w:rFonts w:ascii="Times New Roman" w:hAnsi="Times New Roman" w:cs="Times New Roman"/>
                <w:color w:val="#000000"/>
                <w:sz w:val="24"/>
                <w:szCs w:val="24"/>
              </w:rPr>
              <w:t> Фондовые индексы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Евробумаги. Рынок евробумаг.</w:t>
            </w:r>
          </w:p>
          <w:p>
            <w:pPr>
              <w:jc w:val="center"/>
              <w:spacing w:after="0" w:line="240" w:lineRule="auto"/>
              <w:rPr>
                <w:sz w:val="24"/>
                <w:szCs w:val="24"/>
              </w:rPr>
            </w:pPr>
            <w:r>
              <w:rPr>
                <w:rFonts w:ascii="Times New Roman" w:hAnsi="Times New Roman" w:cs="Times New Roman"/>
                <w:b/>
                <w:color w:val="#000000"/>
                <w:sz w:val="24"/>
                <w:szCs w:val="24"/>
              </w:rPr>
              <w:t> Рейтинг ценных бумаг и эмитентов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Евробумаги</w:t>
            </w:r>
          </w:p>
          <w:p>
            <w:pPr>
              <w:jc w:val="both"/>
              <w:spacing w:after="0" w:line="240" w:lineRule="auto"/>
              <w:rPr>
                <w:sz w:val="24"/>
                <w:szCs w:val="24"/>
              </w:rPr>
            </w:pPr>
            <w:r>
              <w:rPr>
                <w:rFonts w:ascii="Times New Roman" w:hAnsi="Times New Roman" w:cs="Times New Roman"/>
                <w:color w:val="#000000"/>
                <w:sz w:val="24"/>
                <w:szCs w:val="24"/>
              </w:rPr>
              <w:t> Рейтинг евробумаг</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сущность, функции и цели применения производных финансовых инструментов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Производные финансовые инструменты</w:t>
            </w:r>
          </w:p>
          <w:p>
            <w:pPr>
              <w:jc w:val="both"/>
              <w:spacing w:after="0" w:line="240" w:lineRule="auto"/>
              <w:rPr>
                <w:sz w:val="24"/>
                <w:szCs w:val="24"/>
              </w:rPr>
            </w:pPr>
            <w:r>
              <w:rPr>
                <w:rFonts w:ascii="Times New Roman" w:hAnsi="Times New Roman" w:cs="Times New Roman"/>
                <w:color w:val="#000000"/>
                <w:sz w:val="24"/>
                <w:szCs w:val="24"/>
              </w:rPr>
              <w:t> Цели и функции финансовых инструментов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Государственное регулирование рынка производных финансовых инструментов  в международной практике и в России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финансовые рынки</w:t>
            </w:r>
          </w:p>
          <w:p>
            <w:pPr>
              <w:jc w:val="both"/>
              <w:spacing w:after="0" w:line="240" w:lineRule="auto"/>
              <w:rPr>
                <w:sz w:val="24"/>
                <w:szCs w:val="24"/>
              </w:rPr>
            </w:pPr>
            <w:r>
              <w:rPr>
                <w:rFonts w:ascii="Times New Roman" w:hAnsi="Times New Roman" w:cs="Times New Roman"/>
                <w:color w:val="#000000"/>
                <w:sz w:val="24"/>
                <w:szCs w:val="24"/>
              </w:rPr>
              <w:t> Международная практика и ценные бумаги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Экзотические производные финансовые инструменты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Новейшие финансовые инструменты</w:t>
            </w:r>
          </w:p>
          <w:p>
            <w:pPr>
              <w:jc w:val="both"/>
              <w:spacing w:after="0" w:line="240" w:lineRule="auto"/>
              <w:rPr>
                <w:sz w:val="24"/>
                <w:szCs w:val="24"/>
              </w:rPr>
            </w:pPr>
            <w:r>
              <w:rPr>
                <w:rFonts w:ascii="Times New Roman" w:hAnsi="Times New Roman" w:cs="Times New Roman"/>
                <w:color w:val="#000000"/>
                <w:sz w:val="24"/>
                <w:szCs w:val="24"/>
              </w:rPr>
              <w:t> Производные деривативы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Возникновение финансов</w:t>
            </w:r>
          </w:p>
          <w:p>
            <w:pPr>
              <w:jc w:val="left"/>
              <w:spacing w:after="0" w:line="240" w:lineRule="auto"/>
              <w:rPr>
                <w:sz w:val="24"/>
                <w:szCs w:val="24"/>
              </w:rPr>
            </w:pPr>
            <w:r>
              <w:rPr>
                <w:rFonts w:ascii="Times New Roman" w:hAnsi="Times New Roman" w:cs="Times New Roman"/>
                <w:color w:val="#000000"/>
                <w:sz w:val="24"/>
                <w:szCs w:val="24"/>
              </w:rPr>
              <w:t> Дискуссионные вопросы финансов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Модели финансового рынка</w:t>
            </w:r>
          </w:p>
          <w:p>
            <w:pPr>
              <w:jc w:val="left"/>
              <w:spacing w:after="0" w:line="240" w:lineRule="auto"/>
              <w:rPr>
                <w:sz w:val="24"/>
                <w:szCs w:val="24"/>
              </w:rPr>
            </w:pPr>
            <w:r>
              <w:rPr>
                <w:rFonts w:ascii="Times New Roman" w:hAnsi="Times New Roman" w:cs="Times New Roman"/>
                <w:color w:val="#000000"/>
                <w:sz w:val="24"/>
                <w:szCs w:val="24"/>
              </w:rPr>
              <w:t> Российские особенности функционирования финансовой сферы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Международные финансовые организации</w:t>
            </w:r>
          </w:p>
          <w:p>
            <w:pPr>
              <w:jc w:val="left"/>
              <w:spacing w:after="0" w:line="240" w:lineRule="auto"/>
              <w:rPr>
                <w:sz w:val="24"/>
                <w:szCs w:val="24"/>
              </w:rPr>
            </w:pPr>
            <w:r>
              <w:rPr>
                <w:rFonts w:ascii="Times New Roman" w:hAnsi="Times New Roman" w:cs="Times New Roman"/>
                <w:color w:val="#000000"/>
                <w:sz w:val="24"/>
                <w:szCs w:val="24"/>
              </w:rPr>
              <w:t> Государство как финансовый посредник</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Фондовый портфель</w:t>
            </w:r>
          </w:p>
          <w:p>
            <w:pPr>
              <w:jc w:val="left"/>
              <w:spacing w:after="0" w:line="240" w:lineRule="auto"/>
              <w:rPr>
                <w:sz w:val="24"/>
                <w:szCs w:val="24"/>
              </w:rPr>
            </w:pPr>
            <w:r>
              <w:rPr>
                <w:rFonts w:ascii="Times New Roman" w:hAnsi="Times New Roman" w:cs="Times New Roman"/>
                <w:color w:val="#000000"/>
                <w:sz w:val="24"/>
                <w:szCs w:val="24"/>
              </w:rPr>
              <w:t> Участники финансового рынка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доходов по ценным бумагам</w:t>
            </w:r>
          </w:p>
          <w:p>
            <w:pPr>
              <w:jc w:val="left"/>
              <w:spacing w:after="0" w:line="240" w:lineRule="auto"/>
              <w:rPr>
                <w:sz w:val="24"/>
                <w:szCs w:val="24"/>
              </w:rPr>
            </w:pPr>
            <w:r>
              <w:rPr>
                <w:rFonts w:ascii="Times New Roman" w:hAnsi="Times New Roman" w:cs="Times New Roman"/>
                <w:color w:val="#000000"/>
                <w:sz w:val="24"/>
                <w:szCs w:val="24"/>
              </w:rPr>
              <w:t> Перспективы рынка ценных бумаг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формирования клиентской базы эмитентов</w:t>
            </w:r>
          </w:p>
          <w:p>
            <w:pPr>
              <w:jc w:val="left"/>
              <w:spacing w:after="0" w:line="240" w:lineRule="auto"/>
              <w:rPr>
                <w:sz w:val="24"/>
                <w:szCs w:val="24"/>
              </w:rPr>
            </w:pPr>
            <w:r>
              <w:rPr>
                <w:rFonts w:ascii="Times New Roman" w:hAnsi="Times New Roman" w:cs="Times New Roman"/>
                <w:color w:val="#000000"/>
                <w:sz w:val="24"/>
                <w:szCs w:val="24"/>
              </w:rPr>
              <w:t> Рейтинговые агентства и их виды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Природа появления производных финансовых инструментов</w:t>
            </w:r>
          </w:p>
          <w:p>
            <w:pPr>
              <w:jc w:val="left"/>
              <w:spacing w:after="0" w:line="240" w:lineRule="auto"/>
              <w:rPr>
                <w:sz w:val="24"/>
                <w:szCs w:val="24"/>
              </w:rPr>
            </w:pPr>
            <w:r>
              <w:rPr>
                <w:rFonts w:ascii="Times New Roman" w:hAnsi="Times New Roman" w:cs="Times New Roman"/>
                <w:color w:val="#000000"/>
                <w:sz w:val="24"/>
                <w:szCs w:val="24"/>
              </w:rPr>
              <w:t> Роль банков в регулировании деятельности и функций производных финансовых инструментов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кредит и управление им</w:t>
            </w:r>
          </w:p>
          <w:p>
            <w:pPr>
              <w:jc w:val="left"/>
              <w:spacing w:after="0" w:line="240" w:lineRule="auto"/>
              <w:rPr>
                <w:sz w:val="24"/>
                <w:szCs w:val="24"/>
              </w:rPr>
            </w:pPr>
            <w:r>
              <w:rPr>
                <w:rFonts w:ascii="Times New Roman" w:hAnsi="Times New Roman" w:cs="Times New Roman"/>
                <w:color w:val="#000000"/>
                <w:sz w:val="24"/>
                <w:szCs w:val="24"/>
              </w:rPr>
              <w:t> Государственный долг и управление им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Национальные особенности финансовых инструментов</w:t>
            </w:r>
          </w:p>
          <w:p>
            <w:pPr>
              <w:jc w:val="left"/>
              <w:spacing w:after="0" w:line="240" w:lineRule="auto"/>
              <w:rPr>
                <w:sz w:val="24"/>
                <w:szCs w:val="24"/>
              </w:rPr>
            </w:pPr>
            <w:r>
              <w:rPr>
                <w:rFonts w:ascii="Times New Roman" w:hAnsi="Times New Roman" w:cs="Times New Roman"/>
                <w:color w:val="#000000"/>
                <w:sz w:val="24"/>
                <w:szCs w:val="24"/>
              </w:rPr>
              <w:t> Концептуальные отличия производных финансовых инструментов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«Финансовая система и финансовые рынки»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Чалдаева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Ахмедов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Блохина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Быстряков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Голодова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Пилипенко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Карпенко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Крутова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Шалашова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Шалашова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978-5-9916-9586-2.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Ярошенко,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978-5-4497-0580-8.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http://www.iprbookshop.ru/95599.html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Эскиндаров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Балюк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Белянчикова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Горбунова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Диденко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Игнатова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Навой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Платонова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Прудникова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Рубцов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Хесин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Хмыз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Ярыгина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Звонова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https://urait.ru/bcode/451189</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инвестиционном</w:t>
            </w:r>
            <w:r>
              <w:rPr/>
              <w:t xml:space="preserve"> </w:t>
            </w:r>
            <w:r>
              <w:rPr>
                <w:rFonts w:ascii="Times New Roman" w:hAnsi="Times New Roman" w:cs="Times New Roman"/>
                <w:color w:val="#000000"/>
                <w:sz w:val="24"/>
                <w:szCs w:val="24"/>
              </w:rPr>
              <w:t>обеспечении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Ничкасова,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рынок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его</w:t>
            </w:r>
            <w:r>
              <w:rPr/>
              <w:t xml:space="preserve"> </w:t>
            </w:r>
            <w:r>
              <w:rPr>
                <w:rFonts w:ascii="Times New Roman" w:hAnsi="Times New Roman" w:cs="Times New Roman"/>
                <w:color w:val="#000000"/>
                <w:sz w:val="24"/>
                <w:szCs w:val="24"/>
              </w:rPr>
              <w:t>роль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инвестиционном</w:t>
            </w:r>
            <w:r>
              <w:rPr/>
              <w:t xml:space="preserve"> </w:t>
            </w:r>
            <w:r>
              <w:rPr>
                <w:rFonts w:ascii="Times New Roman" w:hAnsi="Times New Roman" w:cs="Times New Roman"/>
                <w:color w:val="#000000"/>
                <w:sz w:val="24"/>
                <w:szCs w:val="24"/>
              </w:rPr>
              <w:t>обеспечении</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978-5-4487-0735-3.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http://www.iprbookshop.ru/99403.html</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110.0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2023-2024_ФГОС3++2023_Бак-ОФО-Э(ФКиА)(23)_plx_Финансовая система и финансовые рынки</dc:title>
  <dc:creator>FastReport.NET</dc:creator>
</cp:coreProperties>
</file>